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E348" w14:textId="77777777" w:rsidR="00B25976" w:rsidRPr="00266CBB" w:rsidRDefault="00B25976" w:rsidP="006201C8">
      <w:pPr>
        <w:rPr>
          <w:sz w:val="22"/>
          <w:szCs w:val="22"/>
        </w:rPr>
      </w:pPr>
    </w:p>
    <w:p w14:paraId="136D9917" w14:textId="77777777" w:rsidR="00266CBB" w:rsidRPr="00266CBB" w:rsidRDefault="00266CBB" w:rsidP="00266CBB">
      <w:pPr>
        <w:spacing w:line="276" w:lineRule="auto"/>
        <w:jc w:val="center"/>
        <w:rPr>
          <w:rFonts w:ascii="Calibri" w:eastAsia="Calibri" w:hAnsi="Calibri"/>
          <w:sz w:val="22"/>
          <w:szCs w:val="22"/>
        </w:rPr>
      </w:pPr>
    </w:p>
    <w:p w14:paraId="606ED61A" w14:textId="77777777" w:rsidR="00B1480B" w:rsidRPr="00C269EA" w:rsidRDefault="00B1480B" w:rsidP="00B1480B">
      <w:pPr>
        <w:spacing w:line="276" w:lineRule="auto"/>
        <w:jc w:val="center"/>
        <w:rPr>
          <w:rFonts w:eastAsia="Calibri"/>
          <w:sz w:val="23"/>
          <w:szCs w:val="23"/>
        </w:rPr>
      </w:pPr>
      <w:r w:rsidRPr="00C269EA">
        <w:rPr>
          <w:rFonts w:eastAsia="Calibri"/>
          <w:sz w:val="23"/>
          <w:szCs w:val="23"/>
        </w:rPr>
        <w:t xml:space="preserve">Proponent Testimony </w:t>
      </w:r>
    </w:p>
    <w:p w14:paraId="17187DD0" w14:textId="3996319F" w:rsidR="00B1480B" w:rsidRPr="00C269EA" w:rsidRDefault="00B1480B" w:rsidP="00B1480B">
      <w:pPr>
        <w:spacing w:line="276" w:lineRule="auto"/>
        <w:jc w:val="center"/>
        <w:rPr>
          <w:rFonts w:eastAsia="Calibri"/>
          <w:sz w:val="23"/>
          <w:szCs w:val="23"/>
        </w:rPr>
      </w:pPr>
      <w:r w:rsidRPr="00C269EA">
        <w:rPr>
          <w:rFonts w:eastAsia="Calibri"/>
          <w:sz w:val="23"/>
          <w:szCs w:val="23"/>
        </w:rPr>
        <w:t xml:space="preserve">Prepared for </w:t>
      </w:r>
      <w:r>
        <w:rPr>
          <w:rFonts w:eastAsia="Calibri"/>
          <w:sz w:val="23"/>
          <w:szCs w:val="23"/>
        </w:rPr>
        <w:t>Hous</w:t>
      </w:r>
      <w:r w:rsidRPr="00C269EA">
        <w:rPr>
          <w:rFonts w:eastAsia="Calibri"/>
          <w:sz w:val="23"/>
          <w:szCs w:val="23"/>
        </w:rPr>
        <w:t>e Bill</w:t>
      </w:r>
      <w:r w:rsidR="003B6969">
        <w:rPr>
          <w:rFonts w:eastAsia="Calibri"/>
          <w:sz w:val="23"/>
          <w:szCs w:val="23"/>
        </w:rPr>
        <w:t xml:space="preserve"> </w:t>
      </w:r>
      <w:r w:rsidR="00FF5C0B">
        <w:rPr>
          <w:rFonts w:eastAsia="Calibri"/>
          <w:sz w:val="23"/>
          <w:szCs w:val="23"/>
        </w:rPr>
        <w:t>200</w:t>
      </w:r>
    </w:p>
    <w:p w14:paraId="219F4A4A" w14:textId="77777777" w:rsidR="00B1480B" w:rsidRPr="00C269EA" w:rsidRDefault="00B1480B" w:rsidP="00B1480B">
      <w:pPr>
        <w:spacing w:line="276" w:lineRule="auto"/>
        <w:jc w:val="center"/>
        <w:rPr>
          <w:rFonts w:eastAsia="Calibri"/>
          <w:sz w:val="23"/>
          <w:szCs w:val="23"/>
        </w:rPr>
      </w:pPr>
      <w:r w:rsidRPr="00C269EA">
        <w:rPr>
          <w:rFonts w:eastAsia="Calibri"/>
          <w:sz w:val="23"/>
          <w:szCs w:val="23"/>
        </w:rPr>
        <w:t xml:space="preserve">The Ohio </w:t>
      </w:r>
      <w:r>
        <w:rPr>
          <w:rFonts w:eastAsia="Calibri"/>
          <w:sz w:val="23"/>
          <w:szCs w:val="23"/>
        </w:rPr>
        <w:t>Hous</w:t>
      </w:r>
      <w:r w:rsidRPr="00C269EA">
        <w:rPr>
          <w:rFonts w:eastAsia="Calibri"/>
          <w:sz w:val="23"/>
          <w:szCs w:val="23"/>
        </w:rPr>
        <w:t>e Ways &amp; Means Committee</w:t>
      </w:r>
    </w:p>
    <w:p w14:paraId="76F1B56C" w14:textId="0DDFDE6B" w:rsidR="00B1480B" w:rsidRPr="00C269EA" w:rsidRDefault="003B6969" w:rsidP="00B1480B">
      <w:pPr>
        <w:spacing w:line="276" w:lineRule="auto"/>
        <w:jc w:val="center"/>
        <w:rPr>
          <w:rFonts w:eastAsia="Calibri"/>
          <w:sz w:val="23"/>
          <w:szCs w:val="23"/>
        </w:rPr>
      </w:pPr>
      <w:r>
        <w:rPr>
          <w:rFonts w:eastAsia="Calibri"/>
          <w:sz w:val="23"/>
          <w:szCs w:val="23"/>
        </w:rPr>
        <w:t>June 2</w:t>
      </w:r>
      <w:r w:rsidR="00FF5C0B">
        <w:rPr>
          <w:rFonts w:eastAsia="Calibri"/>
          <w:sz w:val="23"/>
          <w:szCs w:val="23"/>
        </w:rPr>
        <w:t>7</w:t>
      </w:r>
      <w:r w:rsidR="00B1480B" w:rsidRPr="00C269EA">
        <w:rPr>
          <w:rFonts w:eastAsia="Calibri"/>
          <w:sz w:val="23"/>
          <w:szCs w:val="23"/>
        </w:rPr>
        <w:t>, 202</w:t>
      </w:r>
      <w:r>
        <w:rPr>
          <w:rFonts w:eastAsia="Calibri"/>
          <w:sz w:val="23"/>
          <w:szCs w:val="23"/>
        </w:rPr>
        <w:t>3</w:t>
      </w:r>
    </w:p>
    <w:p w14:paraId="5E62A2A9" w14:textId="77777777" w:rsidR="00266CBB" w:rsidRPr="00266CBB" w:rsidRDefault="00266CBB" w:rsidP="00266CBB">
      <w:pPr>
        <w:rPr>
          <w:sz w:val="22"/>
          <w:szCs w:val="22"/>
        </w:rPr>
      </w:pPr>
    </w:p>
    <w:p w14:paraId="3B6CB0D7" w14:textId="45328F98" w:rsidR="005E4E0B" w:rsidRPr="005E4E0B" w:rsidRDefault="005E4E0B" w:rsidP="005E4E0B">
      <w:pPr>
        <w:rPr>
          <w:sz w:val="22"/>
          <w:szCs w:val="22"/>
        </w:rPr>
      </w:pPr>
      <w:r w:rsidRPr="005E4E0B">
        <w:rPr>
          <w:sz w:val="22"/>
          <w:szCs w:val="22"/>
        </w:rPr>
        <w:t xml:space="preserve">Chair </w:t>
      </w:r>
      <w:r w:rsidR="00BC0ADF">
        <w:rPr>
          <w:sz w:val="22"/>
          <w:szCs w:val="22"/>
        </w:rPr>
        <w:t>Roemer</w:t>
      </w:r>
      <w:r w:rsidRPr="005E4E0B">
        <w:rPr>
          <w:sz w:val="22"/>
          <w:szCs w:val="22"/>
        </w:rPr>
        <w:t xml:space="preserve">, Vice Chair </w:t>
      </w:r>
      <w:r w:rsidR="00BC0ADF">
        <w:rPr>
          <w:sz w:val="22"/>
          <w:szCs w:val="22"/>
        </w:rPr>
        <w:t>Lorenz</w:t>
      </w:r>
      <w:r w:rsidRPr="005E4E0B">
        <w:rPr>
          <w:sz w:val="22"/>
          <w:szCs w:val="22"/>
        </w:rPr>
        <w:t xml:space="preserve">, Ranking Member </w:t>
      </w:r>
      <w:r w:rsidR="00BC0ADF">
        <w:rPr>
          <w:sz w:val="22"/>
          <w:szCs w:val="22"/>
        </w:rPr>
        <w:t>Troy</w:t>
      </w:r>
      <w:r w:rsidRPr="005E4E0B">
        <w:rPr>
          <w:sz w:val="22"/>
          <w:szCs w:val="22"/>
        </w:rPr>
        <w:t>, and Members of the Ohio House Ways &amp; Means Committee, thank you for this opportunity to offer proponent testimony on behalf of The Ohio Society of CPAs (“OSCPA”) and our 2</w:t>
      </w:r>
      <w:r w:rsidR="002338AA">
        <w:rPr>
          <w:sz w:val="22"/>
          <w:szCs w:val="22"/>
        </w:rPr>
        <w:t>2</w:t>
      </w:r>
      <w:r w:rsidRPr="005E4E0B">
        <w:rPr>
          <w:sz w:val="22"/>
          <w:szCs w:val="22"/>
        </w:rPr>
        <w:t xml:space="preserve">,000 members.  I’m </w:t>
      </w:r>
      <w:r w:rsidR="00FF5C0B">
        <w:rPr>
          <w:sz w:val="22"/>
          <w:szCs w:val="22"/>
        </w:rPr>
        <w:t xml:space="preserve">Adam Garn and testifying as Chair of the </w:t>
      </w:r>
      <w:r w:rsidR="00D03B2A">
        <w:rPr>
          <w:sz w:val="22"/>
          <w:szCs w:val="22"/>
        </w:rPr>
        <w:t xml:space="preserve">OSCPA </w:t>
      </w:r>
      <w:r w:rsidR="00FF5C0B">
        <w:rPr>
          <w:sz w:val="22"/>
          <w:szCs w:val="22"/>
        </w:rPr>
        <w:t>State and Local Tax Committee.  OSCPA supports House Bill 200</w:t>
      </w:r>
      <w:r w:rsidRPr="005E4E0B">
        <w:rPr>
          <w:sz w:val="22"/>
          <w:szCs w:val="22"/>
        </w:rPr>
        <w:t>.</w:t>
      </w:r>
    </w:p>
    <w:p w14:paraId="72BDD725" w14:textId="77777777" w:rsidR="00266CBB" w:rsidRPr="00266CBB" w:rsidRDefault="00266CBB" w:rsidP="00266CBB">
      <w:pPr>
        <w:rPr>
          <w:sz w:val="22"/>
          <w:szCs w:val="22"/>
        </w:rPr>
      </w:pPr>
    </w:p>
    <w:p w14:paraId="47DC9534" w14:textId="514C7DBD" w:rsidR="009E0C39" w:rsidRDefault="00266CBB" w:rsidP="00266CBB">
      <w:pPr>
        <w:rPr>
          <w:sz w:val="22"/>
          <w:szCs w:val="22"/>
        </w:rPr>
      </w:pPr>
      <w:r w:rsidRPr="00266CBB">
        <w:rPr>
          <w:sz w:val="22"/>
          <w:szCs w:val="22"/>
        </w:rPr>
        <w:t xml:space="preserve">This legislation </w:t>
      </w:r>
      <w:proofErr w:type="gramStart"/>
      <w:r w:rsidR="00D03B2A">
        <w:rPr>
          <w:sz w:val="22"/>
          <w:szCs w:val="22"/>
        </w:rPr>
        <w:t>would</w:t>
      </w:r>
      <w:proofErr w:type="gramEnd"/>
      <w:r w:rsidR="00D03B2A">
        <w:rPr>
          <w:sz w:val="22"/>
          <w:szCs w:val="22"/>
        </w:rPr>
        <w:t xml:space="preserve"> authorize </w:t>
      </w:r>
      <w:r w:rsidR="00FF5C0B">
        <w:rPr>
          <w:sz w:val="22"/>
          <w:szCs w:val="22"/>
        </w:rPr>
        <w:t>Ohio residents</w:t>
      </w:r>
      <w:r w:rsidR="00D03B2A">
        <w:rPr>
          <w:sz w:val="22"/>
          <w:szCs w:val="22"/>
        </w:rPr>
        <w:t xml:space="preserve"> to claim a credit for </w:t>
      </w:r>
      <w:r w:rsidR="00795F87">
        <w:rPr>
          <w:sz w:val="22"/>
          <w:szCs w:val="22"/>
        </w:rPr>
        <w:t xml:space="preserve">income </w:t>
      </w:r>
      <w:r w:rsidR="00D03B2A">
        <w:rPr>
          <w:sz w:val="22"/>
          <w:szCs w:val="22"/>
        </w:rPr>
        <w:t>taxes paid to other states if the resident owns an interest in a pass-through entity that opts into the pass-through entity tax in the other state.</w:t>
      </w:r>
    </w:p>
    <w:p w14:paraId="740FBEA5" w14:textId="1B11B55B" w:rsidR="009E0C39" w:rsidRDefault="009E0C39" w:rsidP="00266CBB">
      <w:pPr>
        <w:rPr>
          <w:sz w:val="22"/>
          <w:szCs w:val="22"/>
        </w:rPr>
      </w:pPr>
    </w:p>
    <w:p w14:paraId="6BC8FB55" w14:textId="1AAE785D" w:rsidR="000A3BE5" w:rsidRDefault="00DF1FDB" w:rsidP="00266CBB">
      <w:pPr>
        <w:rPr>
          <w:sz w:val="22"/>
          <w:szCs w:val="22"/>
        </w:rPr>
      </w:pPr>
      <w:r>
        <w:rPr>
          <w:sz w:val="22"/>
          <w:szCs w:val="22"/>
        </w:rPr>
        <w:t xml:space="preserve">In 2017, </w:t>
      </w:r>
      <w:r w:rsidR="00AF4BE9">
        <w:rPr>
          <w:sz w:val="22"/>
          <w:szCs w:val="22"/>
        </w:rPr>
        <w:t xml:space="preserve">the federal government </w:t>
      </w:r>
      <w:r>
        <w:rPr>
          <w:sz w:val="22"/>
          <w:szCs w:val="22"/>
        </w:rPr>
        <w:t xml:space="preserve">enacted the Tax Cuts and Jobs Act which limited an individual’s </w:t>
      </w:r>
      <w:r w:rsidR="00213880">
        <w:rPr>
          <w:sz w:val="22"/>
          <w:szCs w:val="22"/>
        </w:rPr>
        <w:t xml:space="preserve">federal </w:t>
      </w:r>
      <w:r>
        <w:rPr>
          <w:sz w:val="22"/>
          <w:szCs w:val="22"/>
        </w:rPr>
        <w:t>state and local</w:t>
      </w:r>
      <w:r w:rsidR="00795F87">
        <w:rPr>
          <w:sz w:val="22"/>
          <w:szCs w:val="22"/>
        </w:rPr>
        <w:t xml:space="preserve"> income </w:t>
      </w:r>
      <w:r>
        <w:rPr>
          <w:sz w:val="22"/>
          <w:szCs w:val="22"/>
        </w:rPr>
        <w:t>tax deduction to $10,000 on their individual income tax return.</w:t>
      </w:r>
      <w:r w:rsidR="00AF4BE9">
        <w:rPr>
          <w:sz w:val="22"/>
          <w:szCs w:val="22"/>
        </w:rPr>
        <w:t xml:space="preserve">  States have responded to this limitation.  </w:t>
      </w:r>
      <w:r w:rsidR="007D6A82">
        <w:rPr>
          <w:sz w:val="22"/>
          <w:szCs w:val="22"/>
        </w:rPr>
        <w:t xml:space="preserve">According to the AICPA, </w:t>
      </w:r>
      <w:r w:rsidR="00213880">
        <w:rPr>
          <w:sz w:val="22"/>
          <w:szCs w:val="22"/>
        </w:rPr>
        <w:t>3</w:t>
      </w:r>
      <w:r>
        <w:rPr>
          <w:sz w:val="22"/>
          <w:szCs w:val="22"/>
        </w:rPr>
        <w:t>6 states and 1 locality have enacted a</w:t>
      </w:r>
      <w:r w:rsidR="003051ED">
        <w:rPr>
          <w:sz w:val="22"/>
          <w:szCs w:val="22"/>
        </w:rPr>
        <w:t xml:space="preserve"> pass-through entity tax which is commonly referred to as the </w:t>
      </w:r>
      <w:r>
        <w:rPr>
          <w:sz w:val="22"/>
          <w:szCs w:val="22"/>
        </w:rPr>
        <w:t>“salt cap workaround” which authorizes pass-through entities to elect to be taxed at the entity level</w:t>
      </w:r>
      <w:r w:rsidR="000A3BE5">
        <w:rPr>
          <w:sz w:val="22"/>
          <w:szCs w:val="22"/>
        </w:rPr>
        <w:t xml:space="preserve"> and receive a federal </w:t>
      </w:r>
      <w:r w:rsidR="00795F87">
        <w:rPr>
          <w:sz w:val="22"/>
          <w:szCs w:val="22"/>
        </w:rPr>
        <w:t xml:space="preserve">income </w:t>
      </w:r>
      <w:r w:rsidR="000A3BE5">
        <w:rPr>
          <w:sz w:val="22"/>
          <w:szCs w:val="22"/>
        </w:rPr>
        <w:t>tax deduction.</w:t>
      </w:r>
      <w:r w:rsidR="007D6A82">
        <w:rPr>
          <w:sz w:val="22"/>
          <w:szCs w:val="22"/>
        </w:rPr>
        <w:t xml:space="preserve">  (</w:t>
      </w:r>
      <w:hyperlink r:id="rId6" w:history="1">
        <w:r w:rsidR="007D6A82" w:rsidRPr="007D6A82">
          <w:rPr>
            <w:rStyle w:val="Hyperlink"/>
            <w:sz w:val="22"/>
            <w:szCs w:val="22"/>
          </w:rPr>
          <w:t xml:space="preserve">AICPA </w:t>
        </w:r>
        <w:r w:rsidR="007D6A82">
          <w:rPr>
            <w:rStyle w:val="Hyperlink"/>
            <w:sz w:val="22"/>
            <w:szCs w:val="22"/>
          </w:rPr>
          <w:t xml:space="preserve">State </w:t>
        </w:r>
        <w:r w:rsidR="007D6A82" w:rsidRPr="007D6A82">
          <w:rPr>
            <w:rStyle w:val="Hyperlink"/>
            <w:sz w:val="22"/>
            <w:szCs w:val="22"/>
          </w:rPr>
          <w:t>Map</w:t>
        </w:r>
      </w:hyperlink>
      <w:r w:rsidR="007D6A82">
        <w:rPr>
          <w:sz w:val="22"/>
          <w:szCs w:val="22"/>
        </w:rPr>
        <w:t>)</w:t>
      </w:r>
      <w:r w:rsidR="00BC7C73">
        <w:rPr>
          <w:sz w:val="22"/>
          <w:szCs w:val="22"/>
        </w:rPr>
        <w:t xml:space="preserve">.  Since 9 states do not impose a personal income </w:t>
      </w:r>
      <w:r w:rsidR="00AF4BE9">
        <w:rPr>
          <w:sz w:val="22"/>
          <w:szCs w:val="22"/>
        </w:rPr>
        <w:t>tax on an owner of a pass-through entity, only 5 states plus the District of Columbia have not addressed the “salt cap workaround.”</w:t>
      </w:r>
      <w:r w:rsidR="00BC7C73">
        <w:rPr>
          <w:sz w:val="22"/>
          <w:szCs w:val="22"/>
        </w:rPr>
        <w:t xml:space="preserve">  </w:t>
      </w:r>
      <w:r w:rsidR="00AF4BE9">
        <w:rPr>
          <w:sz w:val="22"/>
          <w:szCs w:val="22"/>
        </w:rPr>
        <w:t>Under this method</w:t>
      </w:r>
      <w:r w:rsidR="00A04FB8">
        <w:rPr>
          <w:sz w:val="22"/>
          <w:szCs w:val="22"/>
        </w:rPr>
        <w:t xml:space="preserve"> of taxation</w:t>
      </w:r>
      <w:r w:rsidR="00AF4BE9">
        <w:rPr>
          <w:sz w:val="22"/>
          <w:szCs w:val="22"/>
        </w:rPr>
        <w:t>, t</w:t>
      </w:r>
      <w:r w:rsidR="000A3BE5">
        <w:rPr>
          <w:sz w:val="22"/>
          <w:szCs w:val="22"/>
        </w:rPr>
        <w:t xml:space="preserve">he owners of the pass-through entity are eligible to receive a federal </w:t>
      </w:r>
      <w:r w:rsidR="00795F87">
        <w:rPr>
          <w:sz w:val="22"/>
          <w:szCs w:val="22"/>
        </w:rPr>
        <w:t xml:space="preserve">income </w:t>
      </w:r>
      <w:r w:rsidR="000A3BE5">
        <w:rPr>
          <w:sz w:val="22"/>
          <w:szCs w:val="22"/>
        </w:rPr>
        <w:t xml:space="preserve">tax deduction for state and local income taxes greater than $10,000 using this method.  </w:t>
      </w:r>
    </w:p>
    <w:p w14:paraId="0B5A618D" w14:textId="0CCE89D6" w:rsidR="000A3BE5" w:rsidRDefault="000A3BE5" w:rsidP="00266CBB">
      <w:pPr>
        <w:rPr>
          <w:sz w:val="22"/>
          <w:szCs w:val="22"/>
        </w:rPr>
      </w:pPr>
    </w:p>
    <w:p w14:paraId="2728B395" w14:textId="3BACAC1B" w:rsidR="00E72D0A" w:rsidRDefault="000A3BE5" w:rsidP="00266CBB">
      <w:pPr>
        <w:rPr>
          <w:sz w:val="22"/>
          <w:szCs w:val="22"/>
        </w:rPr>
      </w:pPr>
      <w:r>
        <w:rPr>
          <w:sz w:val="22"/>
          <w:szCs w:val="22"/>
        </w:rPr>
        <w:t>Under current law, Ohio residents a</w:t>
      </w:r>
      <w:r w:rsidR="00E72D0A">
        <w:rPr>
          <w:sz w:val="22"/>
          <w:szCs w:val="22"/>
        </w:rPr>
        <w:t xml:space="preserve">re not eligible to receive a credit for taxes paid if the </w:t>
      </w:r>
      <w:r w:rsidR="00795F87">
        <w:rPr>
          <w:sz w:val="22"/>
          <w:szCs w:val="22"/>
        </w:rPr>
        <w:t xml:space="preserve">income </w:t>
      </w:r>
      <w:r w:rsidR="00E72D0A">
        <w:rPr>
          <w:sz w:val="22"/>
          <w:szCs w:val="22"/>
        </w:rPr>
        <w:t>tax is deducted from the individual’s federal adjusted gross income.</w:t>
      </w:r>
      <w:r w:rsidR="00795F87">
        <w:rPr>
          <w:sz w:val="22"/>
          <w:szCs w:val="22"/>
        </w:rPr>
        <w:t xml:space="preserve">  As a result, m</w:t>
      </w:r>
      <w:r w:rsidR="00E72D0A">
        <w:rPr>
          <w:sz w:val="22"/>
          <w:szCs w:val="22"/>
        </w:rPr>
        <w:t>any Ohio residents are choosing not to opt into the “salt cap workaround” in other states and forgoing a federal income tax deduction</w:t>
      </w:r>
      <w:r w:rsidR="00795F87">
        <w:rPr>
          <w:sz w:val="22"/>
          <w:szCs w:val="22"/>
        </w:rPr>
        <w:t xml:space="preserve">.  </w:t>
      </w:r>
      <w:r w:rsidR="00E72D0A">
        <w:rPr>
          <w:sz w:val="22"/>
          <w:szCs w:val="22"/>
        </w:rPr>
        <w:t xml:space="preserve">If </w:t>
      </w:r>
      <w:r w:rsidR="00795F87">
        <w:rPr>
          <w:sz w:val="22"/>
          <w:szCs w:val="22"/>
        </w:rPr>
        <w:t>an Ohio resident is an owner in a pass-through entity that opts into the “salt cap workaround” in another state, the Ohio resident will pay income tax twice on the same income.  Once to the other state at the pass-through entity level and secondly to Ohio because the resident does not receive a credit for the income tax paid by the entity</w:t>
      </w:r>
      <w:r w:rsidR="003051ED">
        <w:rPr>
          <w:sz w:val="22"/>
          <w:szCs w:val="22"/>
        </w:rPr>
        <w:t xml:space="preserve"> on the owner’s behalf</w:t>
      </w:r>
      <w:r w:rsidR="00795F87">
        <w:rPr>
          <w:sz w:val="22"/>
          <w:szCs w:val="22"/>
        </w:rPr>
        <w:t>.</w:t>
      </w:r>
      <w:r w:rsidR="00E72D0A">
        <w:rPr>
          <w:sz w:val="22"/>
          <w:szCs w:val="22"/>
        </w:rPr>
        <w:t xml:space="preserve">    </w:t>
      </w:r>
    </w:p>
    <w:p w14:paraId="3602744E" w14:textId="77777777" w:rsidR="00795F87" w:rsidRDefault="00795F87" w:rsidP="00266CBB">
      <w:pPr>
        <w:rPr>
          <w:sz w:val="22"/>
          <w:szCs w:val="22"/>
        </w:rPr>
      </w:pPr>
    </w:p>
    <w:p w14:paraId="3BC17DED" w14:textId="1CDFE2CB" w:rsidR="00CB1CB4" w:rsidRDefault="007D6A82" w:rsidP="00266CBB">
      <w:pPr>
        <w:rPr>
          <w:sz w:val="22"/>
          <w:szCs w:val="22"/>
        </w:rPr>
      </w:pPr>
      <w:r>
        <w:rPr>
          <w:sz w:val="22"/>
          <w:szCs w:val="22"/>
        </w:rPr>
        <w:t xml:space="preserve">In order to mitigate the federal income tax deduction impact to Ohio, </w:t>
      </w:r>
      <w:r w:rsidR="00795F87">
        <w:rPr>
          <w:sz w:val="22"/>
          <w:szCs w:val="22"/>
        </w:rPr>
        <w:t xml:space="preserve">House Bill 200 </w:t>
      </w:r>
      <w:r w:rsidR="003051ED">
        <w:rPr>
          <w:sz w:val="22"/>
          <w:szCs w:val="22"/>
        </w:rPr>
        <w:t xml:space="preserve">also </w:t>
      </w:r>
      <w:r w:rsidR="00513810">
        <w:rPr>
          <w:sz w:val="22"/>
          <w:szCs w:val="22"/>
        </w:rPr>
        <w:t>proposes an add-back of the income taxes deducted from the individual’s federal adjusted gross income</w:t>
      </w:r>
      <w:r>
        <w:rPr>
          <w:sz w:val="22"/>
          <w:szCs w:val="22"/>
        </w:rPr>
        <w:t xml:space="preserve">.  </w:t>
      </w:r>
      <w:r w:rsidR="003051ED">
        <w:rPr>
          <w:sz w:val="22"/>
          <w:szCs w:val="22"/>
        </w:rPr>
        <w:t>Correspondingly, the fiscal effect of the House Bill 200 provisions w</w:t>
      </w:r>
      <w:r w:rsidR="00AF4BE9">
        <w:rPr>
          <w:sz w:val="22"/>
          <w:szCs w:val="22"/>
        </w:rPr>
        <w:t>as</w:t>
      </w:r>
      <w:r w:rsidR="003051ED">
        <w:rPr>
          <w:sz w:val="22"/>
          <w:szCs w:val="22"/>
        </w:rPr>
        <w:t xml:space="preserve"> determined to have likely minimal loss of personal income tax revenue in the Senate passed version of House Bill 33</w:t>
      </w:r>
      <w:r>
        <w:rPr>
          <w:sz w:val="22"/>
          <w:szCs w:val="22"/>
        </w:rPr>
        <w:t xml:space="preserve"> (TAXCD92)</w:t>
      </w:r>
      <w:r w:rsidR="003051ED">
        <w:rPr>
          <w:sz w:val="22"/>
          <w:szCs w:val="22"/>
        </w:rPr>
        <w:t>.</w:t>
      </w:r>
    </w:p>
    <w:p w14:paraId="30463C8D" w14:textId="77777777" w:rsidR="00CB1CB4" w:rsidRDefault="00CB1CB4" w:rsidP="00266CBB">
      <w:pPr>
        <w:rPr>
          <w:sz w:val="22"/>
          <w:szCs w:val="22"/>
        </w:rPr>
      </w:pPr>
    </w:p>
    <w:p w14:paraId="5046D6E3" w14:textId="0BB71688" w:rsidR="00C3497D" w:rsidRDefault="00C3497D" w:rsidP="00266CBB">
      <w:pPr>
        <w:rPr>
          <w:sz w:val="22"/>
          <w:szCs w:val="22"/>
        </w:rPr>
      </w:pPr>
      <w:r>
        <w:rPr>
          <w:sz w:val="22"/>
          <w:szCs w:val="22"/>
        </w:rPr>
        <w:t>The add-back treatment is similar to current law if an Ohio resident is part of a composite tax return in another state.  Under the composite</w:t>
      </w:r>
      <w:r w:rsidR="003051ED">
        <w:rPr>
          <w:sz w:val="22"/>
          <w:szCs w:val="22"/>
        </w:rPr>
        <w:t xml:space="preserve"> tax </w:t>
      </w:r>
      <w:r w:rsidR="00AF4BE9">
        <w:rPr>
          <w:sz w:val="22"/>
          <w:szCs w:val="22"/>
        </w:rPr>
        <w:t xml:space="preserve">return </w:t>
      </w:r>
      <w:r>
        <w:rPr>
          <w:sz w:val="22"/>
          <w:szCs w:val="22"/>
        </w:rPr>
        <w:t xml:space="preserve">filing, an entity pays </w:t>
      </w:r>
      <w:r w:rsidR="007D6A82">
        <w:rPr>
          <w:sz w:val="22"/>
          <w:szCs w:val="22"/>
        </w:rPr>
        <w:t xml:space="preserve">income </w:t>
      </w:r>
      <w:r>
        <w:rPr>
          <w:sz w:val="22"/>
          <w:szCs w:val="22"/>
        </w:rPr>
        <w:t>tax at the entity level but receives no federal income tax deduction.  The amount paid is treated as a distribution to the owner of the pass-through entity</w:t>
      </w:r>
      <w:r w:rsidR="007D6A82">
        <w:rPr>
          <w:sz w:val="22"/>
          <w:szCs w:val="22"/>
        </w:rPr>
        <w:t xml:space="preserve"> as part of the composite filing.</w:t>
      </w:r>
      <w:r>
        <w:rPr>
          <w:sz w:val="22"/>
          <w:szCs w:val="22"/>
        </w:rPr>
        <w:t xml:space="preserve">  </w:t>
      </w:r>
    </w:p>
    <w:p w14:paraId="717222AE" w14:textId="77777777" w:rsidR="00C3497D" w:rsidRDefault="00C3497D" w:rsidP="00266CBB">
      <w:pPr>
        <w:rPr>
          <w:sz w:val="22"/>
          <w:szCs w:val="22"/>
        </w:rPr>
      </w:pPr>
    </w:p>
    <w:p w14:paraId="7571439A" w14:textId="096E2EB5" w:rsidR="00513810" w:rsidRDefault="00C3497D" w:rsidP="00266CBB">
      <w:pPr>
        <w:rPr>
          <w:sz w:val="22"/>
          <w:szCs w:val="22"/>
        </w:rPr>
      </w:pPr>
      <w:r>
        <w:rPr>
          <w:sz w:val="22"/>
          <w:szCs w:val="22"/>
        </w:rPr>
        <w:t>Ohio is one of the only states that authorize a “salt cap workaround” but does not authorize a credit for taxes paid for these taxes.</w:t>
      </w:r>
      <w:r w:rsidR="007D6A82">
        <w:rPr>
          <w:sz w:val="22"/>
          <w:szCs w:val="22"/>
        </w:rPr>
        <w:t xml:space="preserve">  (</w:t>
      </w:r>
      <w:hyperlink r:id="rId7" w:history="1">
        <w:r w:rsidR="007D6A82" w:rsidRPr="007261C3">
          <w:rPr>
            <w:rStyle w:val="Hyperlink"/>
            <w:sz w:val="22"/>
            <w:szCs w:val="22"/>
          </w:rPr>
          <w:t>AICPA State An</w:t>
        </w:r>
        <w:r w:rsidR="007D6A82" w:rsidRPr="007261C3">
          <w:rPr>
            <w:rStyle w:val="Hyperlink"/>
            <w:sz w:val="22"/>
            <w:szCs w:val="22"/>
          </w:rPr>
          <w:t>a</w:t>
        </w:r>
        <w:r w:rsidR="007D6A82" w:rsidRPr="007261C3">
          <w:rPr>
            <w:rStyle w:val="Hyperlink"/>
            <w:sz w:val="22"/>
            <w:szCs w:val="22"/>
          </w:rPr>
          <w:t>lysis</w:t>
        </w:r>
      </w:hyperlink>
      <w:r w:rsidR="007261C3">
        <w:rPr>
          <w:sz w:val="22"/>
          <w:szCs w:val="22"/>
        </w:rPr>
        <w:t xml:space="preserve"> – see column entitled - Credit for Other State </w:t>
      </w:r>
      <w:proofErr w:type="spellStart"/>
      <w:r w:rsidR="007261C3">
        <w:rPr>
          <w:sz w:val="22"/>
          <w:szCs w:val="22"/>
        </w:rPr>
        <w:t>PTETs</w:t>
      </w:r>
      <w:proofErr w:type="spellEnd"/>
      <w:r w:rsidR="007D6A82">
        <w:rPr>
          <w:sz w:val="22"/>
          <w:szCs w:val="22"/>
        </w:rPr>
        <w:t>).</w:t>
      </w:r>
      <w:r w:rsidR="00BC7C73">
        <w:rPr>
          <w:sz w:val="22"/>
          <w:szCs w:val="22"/>
        </w:rPr>
        <w:t xml:space="preserve">  </w:t>
      </w:r>
    </w:p>
    <w:p w14:paraId="20686690" w14:textId="77777777" w:rsidR="00513810" w:rsidRDefault="00513810" w:rsidP="00266CBB">
      <w:pPr>
        <w:rPr>
          <w:sz w:val="22"/>
          <w:szCs w:val="22"/>
        </w:rPr>
      </w:pPr>
    </w:p>
    <w:p w14:paraId="3D3778D6" w14:textId="14237054" w:rsidR="007261C3" w:rsidRDefault="003051ED" w:rsidP="003051ED">
      <w:pPr>
        <w:rPr>
          <w:sz w:val="22"/>
          <w:szCs w:val="22"/>
        </w:rPr>
      </w:pPr>
      <w:r w:rsidRPr="00266CBB">
        <w:rPr>
          <w:sz w:val="22"/>
          <w:szCs w:val="22"/>
        </w:rPr>
        <w:t xml:space="preserve">Thank you again for this opportunity to offer proponent testimony on </w:t>
      </w:r>
      <w:r>
        <w:rPr>
          <w:sz w:val="22"/>
          <w:szCs w:val="22"/>
        </w:rPr>
        <w:t>Hous</w:t>
      </w:r>
      <w:r w:rsidRPr="00266CBB">
        <w:rPr>
          <w:sz w:val="22"/>
          <w:szCs w:val="22"/>
        </w:rPr>
        <w:t>e Bill</w:t>
      </w:r>
      <w:r>
        <w:rPr>
          <w:sz w:val="22"/>
          <w:szCs w:val="22"/>
        </w:rPr>
        <w:t xml:space="preserve"> 200.  I am available </w:t>
      </w:r>
      <w:r w:rsidRPr="00266CBB">
        <w:rPr>
          <w:sz w:val="22"/>
          <w:szCs w:val="22"/>
        </w:rPr>
        <w:t xml:space="preserve">to answer any of your questions. </w:t>
      </w:r>
    </w:p>
    <w:p w14:paraId="4776244A" w14:textId="77777777" w:rsidR="003051ED" w:rsidRPr="00266CBB" w:rsidRDefault="003051ED" w:rsidP="003051ED">
      <w:pPr>
        <w:rPr>
          <w:sz w:val="22"/>
          <w:szCs w:val="22"/>
        </w:rPr>
      </w:pPr>
    </w:p>
    <w:p w14:paraId="70EDB0ED" w14:textId="77777777" w:rsidR="006201C8" w:rsidRPr="00266CBB" w:rsidRDefault="006201C8" w:rsidP="006201C8">
      <w:pPr>
        <w:rPr>
          <w:sz w:val="22"/>
          <w:szCs w:val="22"/>
        </w:rPr>
      </w:pPr>
    </w:p>
    <w:sectPr w:rsidR="006201C8" w:rsidRPr="00266CBB" w:rsidSect="00B25976">
      <w:headerReference w:type="first" r:id="rId8"/>
      <w:pgSz w:w="12240" w:h="15840"/>
      <w:pgMar w:top="720" w:right="1008" w:bottom="720" w:left="1008"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A213" w14:textId="77777777" w:rsidR="00F9163C" w:rsidRDefault="00F9163C" w:rsidP="001D5CDF">
      <w:r>
        <w:separator/>
      </w:r>
    </w:p>
  </w:endnote>
  <w:endnote w:type="continuationSeparator" w:id="0">
    <w:p w14:paraId="38CEB298" w14:textId="77777777" w:rsidR="00F9163C" w:rsidRDefault="00F9163C" w:rsidP="001D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EDF7" w14:textId="77777777" w:rsidR="00F9163C" w:rsidRDefault="00F9163C" w:rsidP="001D5CDF">
      <w:r>
        <w:separator/>
      </w:r>
    </w:p>
  </w:footnote>
  <w:footnote w:type="continuationSeparator" w:id="0">
    <w:p w14:paraId="51104BBD" w14:textId="77777777" w:rsidR="00F9163C" w:rsidRDefault="00F9163C" w:rsidP="001D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686D" w14:textId="77777777" w:rsidR="001D5CDF" w:rsidRDefault="001D5CDF">
    <w:pPr>
      <w:pStyle w:val="Header"/>
    </w:pPr>
    <w:r>
      <w:rPr>
        <w:noProof/>
      </w:rPr>
      <w:drawing>
        <wp:anchor distT="0" distB="0" distL="114300" distR="114300" simplePos="0" relativeHeight="251658240" behindDoc="1" locked="0" layoutInCell="1" allowOverlap="1" wp14:anchorId="7FF45A49" wp14:editId="003FF859">
          <wp:simplePos x="0" y="0"/>
          <wp:positionH relativeFrom="page">
            <wp:posOffset>75565</wp:posOffset>
          </wp:positionH>
          <wp:positionV relativeFrom="page">
            <wp:posOffset>5080</wp:posOffset>
          </wp:positionV>
          <wp:extent cx="7616402" cy="985656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 CPA LH.jpg"/>
                  <pic:cNvPicPr/>
                </pic:nvPicPr>
                <pic:blipFill>
                  <a:blip r:embed="rId1">
                    <a:extLst>
                      <a:ext uri="{28A0092B-C50C-407E-A947-70E740481C1C}">
                        <a14:useLocalDpi xmlns:a14="http://schemas.microsoft.com/office/drawing/2010/main" val="0"/>
                      </a:ext>
                    </a:extLst>
                  </a:blip>
                  <a:stretch>
                    <a:fillRect/>
                  </a:stretch>
                </pic:blipFill>
                <pic:spPr>
                  <a:xfrm>
                    <a:off x="0" y="0"/>
                    <a:ext cx="7616402" cy="98565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DF"/>
    <w:rsid w:val="000A3BE5"/>
    <w:rsid w:val="001D5CDF"/>
    <w:rsid w:val="00213880"/>
    <w:rsid w:val="002338AA"/>
    <w:rsid w:val="00266CBB"/>
    <w:rsid w:val="002C60E8"/>
    <w:rsid w:val="002E1952"/>
    <w:rsid w:val="003051ED"/>
    <w:rsid w:val="003152A3"/>
    <w:rsid w:val="003B6969"/>
    <w:rsid w:val="00513810"/>
    <w:rsid w:val="005E4E0B"/>
    <w:rsid w:val="006201C8"/>
    <w:rsid w:val="00650270"/>
    <w:rsid w:val="006C58D9"/>
    <w:rsid w:val="007261C3"/>
    <w:rsid w:val="007353E9"/>
    <w:rsid w:val="00756CD7"/>
    <w:rsid w:val="00795F87"/>
    <w:rsid w:val="007D6A82"/>
    <w:rsid w:val="007E31F4"/>
    <w:rsid w:val="008955F4"/>
    <w:rsid w:val="0094063D"/>
    <w:rsid w:val="009E0C39"/>
    <w:rsid w:val="00A04FB8"/>
    <w:rsid w:val="00A06BBE"/>
    <w:rsid w:val="00AC570A"/>
    <w:rsid w:val="00AF4BE9"/>
    <w:rsid w:val="00B1480B"/>
    <w:rsid w:val="00B25976"/>
    <w:rsid w:val="00B56492"/>
    <w:rsid w:val="00B84614"/>
    <w:rsid w:val="00BC0ADF"/>
    <w:rsid w:val="00BC7C73"/>
    <w:rsid w:val="00BE2802"/>
    <w:rsid w:val="00BE6342"/>
    <w:rsid w:val="00C1693C"/>
    <w:rsid w:val="00C3497D"/>
    <w:rsid w:val="00C832F4"/>
    <w:rsid w:val="00CB1CB4"/>
    <w:rsid w:val="00CB515A"/>
    <w:rsid w:val="00CC14C5"/>
    <w:rsid w:val="00D03B2A"/>
    <w:rsid w:val="00D71F79"/>
    <w:rsid w:val="00DF1FDB"/>
    <w:rsid w:val="00E569F1"/>
    <w:rsid w:val="00E6645E"/>
    <w:rsid w:val="00E72D0A"/>
    <w:rsid w:val="00EB35EB"/>
    <w:rsid w:val="00F9163C"/>
    <w:rsid w:val="00FF5C0B"/>
    <w:rsid w:val="00FF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EE0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CDF"/>
    <w:pPr>
      <w:tabs>
        <w:tab w:val="center" w:pos="4680"/>
        <w:tab w:val="right" w:pos="9360"/>
      </w:tabs>
    </w:pPr>
  </w:style>
  <w:style w:type="character" w:customStyle="1" w:styleId="HeaderChar">
    <w:name w:val="Header Char"/>
    <w:basedOn w:val="DefaultParagraphFont"/>
    <w:link w:val="Header"/>
    <w:uiPriority w:val="99"/>
    <w:rsid w:val="001D5CDF"/>
  </w:style>
  <w:style w:type="paragraph" w:styleId="Footer">
    <w:name w:val="footer"/>
    <w:basedOn w:val="Normal"/>
    <w:link w:val="FooterChar"/>
    <w:uiPriority w:val="99"/>
    <w:unhideWhenUsed/>
    <w:rsid w:val="001D5CDF"/>
    <w:pPr>
      <w:tabs>
        <w:tab w:val="center" w:pos="4680"/>
        <w:tab w:val="right" w:pos="9360"/>
      </w:tabs>
    </w:pPr>
  </w:style>
  <w:style w:type="character" w:customStyle="1" w:styleId="FooterChar">
    <w:name w:val="Footer Char"/>
    <w:basedOn w:val="DefaultParagraphFont"/>
    <w:link w:val="Footer"/>
    <w:uiPriority w:val="99"/>
    <w:rsid w:val="001D5CDF"/>
  </w:style>
  <w:style w:type="character" w:styleId="Hyperlink">
    <w:name w:val="Hyperlink"/>
    <w:basedOn w:val="DefaultParagraphFont"/>
    <w:uiPriority w:val="99"/>
    <w:unhideWhenUsed/>
    <w:rsid w:val="00E6645E"/>
    <w:rPr>
      <w:color w:val="0563C1" w:themeColor="hyperlink"/>
      <w:u w:val="single"/>
    </w:rPr>
  </w:style>
  <w:style w:type="character" w:styleId="UnresolvedMention">
    <w:name w:val="Unresolved Mention"/>
    <w:basedOn w:val="DefaultParagraphFont"/>
    <w:uiPriority w:val="99"/>
    <w:semiHidden/>
    <w:unhideWhenUsed/>
    <w:rsid w:val="00E6645E"/>
    <w:rPr>
      <w:color w:val="605E5C"/>
      <w:shd w:val="clear" w:color="auto" w:fill="E1DFDD"/>
    </w:rPr>
  </w:style>
  <w:style w:type="character" w:styleId="FollowedHyperlink">
    <w:name w:val="FollowedHyperlink"/>
    <w:basedOn w:val="DefaultParagraphFont"/>
    <w:uiPriority w:val="99"/>
    <w:semiHidden/>
    <w:unhideWhenUsed/>
    <w:rsid w:val="007D6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s.aicpa.org/content/dam/aicpa/advocacy/tax/downloadabledocuments/56175896-links-to-pass-through-entity-pte-taxes-states-legislation-and-tax-authorities-information-and-guidan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aicpa.org/content/dam/aicpa/advocacy/tax/downloadabledocuments/56175896-pte-map.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Garn</cp:lastModifiedBy>
  <cp:revision>6</cp:revision>
  <cp:lastPrinted>2016-05-20T18:29:00Z</cp:lastPrinted>
  <dcterms:created xsi:type="dcterms:W3CDTF">2023-06-25T18:41:00Z</dcterms:created>
  <dcterms:modified xsi:type="dcterms:W3CDTF">2023-06-26T14:39:00Z</dcterms:modified>
</cp:coreProperties>
</file>